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0" w:name="tribunal-judicial-de-lisboa"/>
    <w:p>
      <w:pPr>
        <w:pStyle w:val="Heading2"/>
      </w:pPr>
      <w:r>
        <w:t xml:space="preserve">Tribunal Judicial de Lisboa</w:t>
      </w:r>
    </w:p>
    <w:bookmarkStart w:id="9" w:name="juízo-de-instrução-criminal-n.º-4"/>
    <w:p>
      <w:pPr>
        <w:pStyle w:val="Heading3"/>
      </w:pPr>
      <w:r>
        <w:t xml:space="preserve">Juízo de Instrução Criminal n.º 4</w:t>
      </w:r>
    </w:p>
    <w:p>
      <w:pPr>
        <w:pStyle w:val="FirstParagraph"/>
      </w:pPr>
      <w:r>
        <w:rPr>
          <w:b/>
          <w:bCs/>
        </w:rPr>
        <w:t xml:space="preserve">Processo Penal n.º 2023/0456</w:t>
      </w:r>
      <w:r>
        <w:t xml:space="preserve"> </w:t>
      </w:r>
      <w:r>
        <w:t xml:space="preserve">– Burla Informática por Phishing – Transferências Fraudulentas de</w:t>
      </w:r>
      <w:r>
        <w:t xml:space="preserve"> </w:t>
      </w:r>
      <w:r>
        <w:rPr>
          <w:b/>
          <w:bCs/>
        </w:rPr>
        <w:t xml:space="preserve">€32 000,00</w:t>
      </w:r>
    </w:p>
    <w:p>
      <w:pPr>
        <w:pStyle w:val="BodyText"/>
      </w:pPr>
      <w:r>
        <w:rPr>
          <w:b/>
          <w:bCs/>
        </w:rPr>
        <w:t xml:space="preserve">Autor:</w:t>
      </w:r>
      <w:r>
        <w:t xml:space="preserve"> </w:t>
      </w:r>
      <w:r>
        <w:t xml:space="preserve">Ministério Público</w:t>
      </w:r>
      <w:r>
        <w:br/>
      </w:r>
      <w:r>
        <w:rPr>
          <w:b/>
          <w:bCs/>
        </w:rPr>
        <w:t xml:space="preserve">Réu:</w:t>
      </w:r>
      <w:r>
        <w:t xml:space="preserve"> </w:t>
      </w:r>
      <w:r>
        <w:t xml:space="preserve">João da Silva, residente em Rua da Junqueira, 3‑2.º‑esq.º, 1300‑292 Lisboa</w:t>
      </w:r>
      <w:r>
        <w:br/>
      </w:r>
      <w:r>
        <w:rPr>
          <w:b/>
          <w:bCs/>
        </w:rPr>
        <w:t xml:space="preserve">Mandatários:</w:t>
      </w:r>
      <w:r>
        <w:br/>
      </w:r>
      <w:r>
        <w:t xml:space="preserve">- Dr. Ana Pereira (OA 12345) – Advogada de defesa, endereço profissional: Av. da República, 45, 1050‑190 Lisboa</w:t>
      </w:r>
      <w:r>
        <w:br/>
      </w:r>
      <w:r>
        <w:t xml:space="preserve">- Dr. Luís Carvalho (OA 67890) – Advogado de defesa, endereço profissional: Rua das Flores, 12, 4000‑123 Porto</w:t>
      </w:r>
      <w:r>
        <w:br/>
      </w:r>
      <w:r>
        <w:t xml:space="preserve">- Dr. Marta Santos (OA 54321) – Procuradora do Ministério Público, endereço profissional: Praça do Comércio, 12, 1100‑148 Lisboa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Juiz de Instrução Criminal n.º 4, Dr. José Almeida</w:t>
      </w:r>
    </w:p>
    <w:p>
      <w:pPr>
        <w:pStyle w:val="BodyText"/>
      </w:pPr>
      <w:r>
        <w:t xml:space="preserve">Lisboa,</w:t>
      </w:r>
      <w:r>
        <w:t xml:space="preserve"> </w:t>
      </w:r>
      <w:r>
        <w:rPr>
          <w:b/>
          <w:bCs/>
        </w:rPr>
        <w:t xml:space="preserve">15 de março de 2024</w:t>
      </w:r>
    </w:p>
    <w:p>
      <w:r>
        <w:pict>
          <v:rect style="width:0;height:1.5pt" o:hralign="center" o:hrstd="t" o:hr="t"/>
        </w:pict>
      </w:r>
    </w:p>
    <w:bookmarkEnd w:id="9"/>
    <w:bookmarkEnd w:id="10"/>
    <w:bookmarkStart w:id="19" w:name="Xc6dc9ef6092e305ccb6299f2c396e0fe76886df"/>
    <w:p>
      <w:pPr>
        <w:pStyle w:val="Heading1"/>
      </w:pPr>
      <w:r>
        <w:rPr>
          <w:b/>
          <w:bCs/>
        </w:rPr>
        <w:t xml:space="preserve">Réplica à Contestação apresentada pela defesa</w:t>
      </w:r>
    </w:p>
    <w:bookmarkStart w:id="11" w:name="i.-introdução"/>
    <w:p>
      <w:pPr>
        <w:pStyle w:val="Heading3"/>
      </w:pPr>
      <w:r>
        <w:t xml:space="preserve">I. Introdução</w:t>
      </w:r>
    </w:p>
    <w:p>
      <w:pPr>
        <w:pStyle w:val="FirstParagraph"/>
      </w:pPr>
      <w:r>
        <w:t xml:space="preserve">A presente</w:t>
      </w:r>
      <w:r>
        <w:t xml:space="preserve"> </w:t>
      </w:r>
      <w:r>
        <w:rPr>
          <w:b/>
          <w:bCs/>
        </w:rPr>
        <w:t xml:space="preserve">Réplica</w:t>
      </w:r>
      <w:r>
        <w:t xml:space="preserve"> </w:t>
      </w:r>
      <w:r>
        <w:t xml:space="preserve">tem por objetivo responder, ponto a ponto, aos argumentos suscitados na</w:t>
      </w:r>
      <w:r>
        <w:t xml:space="preserve"> </w:t>
      </w:r>
      <w:r>
        <w:rPr>
          <w:b/>
          <w:bCs/>
        </w:rPr>
        <w:t xml:space="preserve">Contestação</w:t>
      </w:r>
      <w:r>
        <w:t xml:space="preserve"> </w:t>
      </w:r>
      <w:r>
        <w:t xml:space="preserve">apresentada pelos mandatários da defesa (Dr. Ana Pereira e Dr. Luís Carvalho) e, simultaneamente, reforçar a</w:t>
      </w:r>
      <w:r>
        <w:t xml:space="preserve"> </w:t>
      </w:r>
      <w:r>
        <w:rPr>
          <w:b/>
          <w:bCs/>
        </w:rPr>
        <w:t xml:space="preserve">admissibilidade</w:t>
      </w:r>
      <w:r>
        <w:t xml:space="preserve"> </w:t>
      </w:r>
      <w:r>
        <w:t xml:space="preserve">da prova eletrónica já coligida nos autos, bem como solicitar a</w:t>
      </w:r>
      <w:r>
        <w:t xml:space="preserve"> </w:t>
      </w:r>
      <w:r>
        <w:rPr>
          <w:b/>
          <w:bCs/>
        </w:rPr>
        <w:t xml:space="preserve">manutenção das diligências</w:t>
      </w:r>
      <w:r>
        <w:t xml:space="preserve"> </w:t>
      </w:r>
      <w:r>
        <w:t xml:space="preserve">previamente requeridas pelo Ministério Público.</w:t>
      </w:r>
    </w:p>
    <w:bookmarkEnd w:id="11"/>
    <w:bookmarkStart w:id="12" w:name="ii.-síntese-dos-argumentos-da-defesa"/>
    <w:p>
      <w:pPr>
        <w:pStyle w:val="Heading3"/>
      </w:pPr>
      <w:r>
        <w:t xml:space="preserve">II. Síntese dos argumentos da defesa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Inadmissibilidade da prova eletrónica</w:t>
      </w:r>
      <w:r>
        <w:t xml:space="preserve"> </w:t>
      </w:r>
      <w:r>
        <w:t xml:space="preserve">– A defesa sustenta que os registos de e‑mail e das transacções bancárias foram obtidos sem a devida autorização judicial, violando o artigo 5.º, n.º 2 da Constituição da República Portuguesa e o artigo 38.º do Código de Processo Penal.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Ausência de nexo causal entre o phishing e as transferências</w:t>
      </w:r>
      <w:r>
        <w:t xml:space="preserve"> </w:t>
      </w:r>
      <w:r>
        <w:t xml:space="preserve">– Argumenta‑se que não há prova suficiente de que o réu tenha efetivamente controlado o acesso à conta bancária da vítima.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Prescrição do delito</w:t>
      </w:r>
      <w:r>
        <w:t xml:space="preserve"> </w:t>
      </w:r>
      <w:r>
        <w:t xml:space="preserve">– A defesa alega que o prazo de prescrição do crime de burla informática, previsto no artigo 73.º do Código Penal, teria decorrido, uma vez que o último facto delituoso ocorreu em</w:t>
      </w:r>
      <w:r>
        <w:t xml:space="preserve"> </w:t>
      </w:r>
      <w:r>
        <w:rPr>
          <w:b/>
          <w:bCs/>
        </w:rPr>
        <w:t xml:space="preserve">25 de março de 2023</w:t>
      </w:r>
      <w:r>
        <w:t xml:space="preserve">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Excesso de diligências</w:t>
      </w:r>
      <w:r>
        <w:t xml:space="preserve"> </w:t>
      </w:r>
      <w:r>
        <w:t xml:space="preserve">– Requer a extinção de pedidos de peritagem informática e de oitiva de testemunhas que, segundo a defesa, seriam desnecessárias ao esclarecimento da matéria de facto.</w:t>
      </w:r>
    </w:p>
    <w:bookmarkEnd w:id="12"/>
    <w:bookmarkStart w:id="17" w:name="iii.-análise-e-refutação-dos-argumentos"/>
    <w:p>
      <w:pPr>
        <w:pStyle w:val="Heading3"/>
      </w:pPr>
      <w:r>
        <w:t xml:space="preserve">III. Análise e refutação dos argumentos</w:t>
      </w:r>
    </w:p>
    <w:bookmarkStart w:id="13" w:name="da-admissibilidade-da-prova-eletrónica"/>
    <w:p>
      <w:pPr>
        <w:pStyle w:val="Heading4"/>
      </w:pPr>
      <w:r>
        <w:t xml:space="preserve">1. Da admissibilidade da prova eletrónica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955"/>
        <w:gridCol w:w="819"/>
        <w:gridCol w:w="2184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Prova</w:t>
            </w:r>
          </w:p>
        </w:tc>
        <w:tc>
          <w:tcPr/>
          <w:p>
            <w:pPr>
              <w:pStyle w:val="Compact"/>
            </w:pPr>
            <w:r>
              <w:t xml:space="preserve">Tipo</w:t>
            </w:r>
          </w:p>
        </w:tc>
        <w:tc>
          <w:tcPr/>
          <w:p>
            <w:pPr>
              <w:pStyle w:val="Compact"/>
            </w:pPr>
            <w:r>
              <w:t xml:space="preserve">Data de recolha</w:t>
            </w:r>
          </w:p>
        </w:tc>
        <w:tc>
          <w:tcPr/>
          <w:p>
            <w:pPr>
              <w:pStyle w:val="Compact"/>
            </w:pPr>
            <w:r>
              <w:t xml:space="preserve">Fundamentação da legalidade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Registo de e‑mail “phishing@bank.com”</w:t>
            </w:r>
          </w:p>
        </w:tc>
        <w:tc>
          <w:tcPr/>
          <w:p>
            <w:pPr>
              <w:pStyle w:val="Compact"/>
            </w:pPr>
            <w:r>
              <w:t xml:space="preserve">Mensagens eletrónicas</w:t>
            </w:r>
          </w:p>
        </w:tc>
        <w:tc>
          <w:tcPr/>
          <w:p>
            <w:pPr>
              <w:pStyle w:val="Compact"/>
            </w:pPr>
            <w:r>
              <w:t xml:space="preserve">12 de março de 2023</w:t>
            </w:r>
          </w:p>
        </w:tc>
        <w:tc>
          <w:tcPr/>
          <w:p>
            <w:pPr>
              <w:pStyle w:val="Compact"/>
            </w:pPr>
            <w:r>
              <w:t xml:space="preserve">Obtido mediante requerimento judicial (Despacho n.º 2023/0187, de 10 de março de 2023) em conformidade com o artigo 38.º, n.º 1, alínea b) do CPP.</w:t>
            </w:r>
          </w:p>
        </w:tc>
      </w:tr>
      <w:tr>
        <w:tc>
          <w:tcPr/>
          <w:p>
            <w:pPr>
              <w:pStyle w:val="Compact"/>
            </w:pPr>
            <w:r>
              <w:t xml:space="preserve">Extratos bancários da conta nº 12345678/001 (Banco X)</w:t>
            </w:r>
          </w:p>
        </w:tc>
        <w:tc>
          <w:tcPr/>
          <w:p>
            <w:pPr>
              <w:pStyle w:val="Compact"/>
            </w:pPr>
            <w:r>
              <w:t xml:space="preserve">Documentos bancários</w:t>
            </w:r>
          </w:p>
        </w:tc>
        <w:tc>
          <w:tcPr/>
          <w:p>
            <w:pPr>
              <w:pStyle w:val="Compact"/>
            </w:pPr>
            <w:r>
              <w:t xml:space="preserve">15 de março de 2023</w:t>
            </w:r>
          </w:p>
        </w:tc>
        <w:tc>
          <w:tcPr/>
          <w:p>
            <w:pPr>
              <w:pStyle w:val="Compact"/>
            </w:pPr>
            <w:r>
              <w:t xml:space="preserve">Emitidos a pedido do Ministério Público, com consentimento da vítima (Declaração da Sra. Maria Fernandes, anexa ao processo).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Logs de acesso ao servidor “phish‑portal.com”</w:t>
            </w:r>
          </w:p>
        </w:tc>
        <w:tc>
          <w:tcPr/>
          <w:p>
            <w:pPr>
              <w:pStyle w:val="Compact"/>
            </w:pPr>
            <w:r>
              <w:t xml:space="preserve">Dados de servidor</w:t>
            </w:r>
          </w:p>
        </w:tc>
        <w:tc>
          <w:tcPr/>
          <w:p>
            <w:pPr>
              <w:pStyle w:val="Compact"/>
            </w:pPr>
            <w:r>
              <w:t xml:space="preserve">18 de março de 2023</w:t>
            </w:r>
          </w:p>
        </w:tc>
        <w:tc>
          <w:tcPr/>
          <w:p>
            <w:pPr>
              <w:pStyle w:val="Compact"/>
            </w:pPr>
            <w:r>
              <w:t xml:space="preserve">Obtidos mediante ordem de cooperação internacional com a Autoridade Nacional de Segurança (ANS), nos termos do artigo 9.º da Lei n.º 83/2017, de 18 de setembro (Cibersegurança).</w:t>
            </w:r>
          </w:p>
        </w:tc>
      </w:tr>
    </w:tbl>
    <w:p>
      <w:pPr>
        <w:pStyle w:val="BodyText"/>
      </w:pPr>
      <w:r>
        <w:t xml:space="preserve">Conforme o disposto no</w:t>
      </w:r>
      <w:r>
        <w:t xml:space="preserve"> </w:t>
      </w:r>
      <w:r>
        <w:rPr>
          <w:b/>
          <w:bCs/>
        </w:rPr>
        <w:t xml:space="preserve">artigo 38.º, n.º 1, alínea b)</w:t>
      </w:r>
      <w:r>
        <w:t xml:space="preserve"> </w:t>
      </w:r>
      <w:r>
        <w:t xml:space="preserve">do Código de Processo Penal, a prova eletrónica obtida mediante ordem judicial ou consentimento do titular dos dados é plenamente admissível. O</w:t>
      </w:r>
      <w:r>
        <w:t xml:space="preserve"> </w:t>
      </w:r>
      <w:r>
        <w:rPr>
          <w:b/>
          <w:bCs/>
        </w:rPr>
        <w:t xml:space="preserve">Despacho n.º 2023/0187</w:t>
      </w:r>
      <w:r>
        <w:t xml:space="preserve"> </w:t>
      </w:r>
      <w:r>
        <w:t xml:space="preserve">autoriza, expressamente, a apreensão e a extração dos registos de e‑mail e dos logs de servidor, não havendo, pois, violação de qualquer garantia constitucional.</w:t>
      </w:r>
    </w:p>
    <w:p>
      <w:pPr>
        <w:pStyle w:val="BodyText"/>
      </w:pPr>
      <w:r>
        <w:t xml:space="preserve">Ademais, a jurisprudência do Supremo Tribunal de Justiça (Acórdão n.º 102/21.4T8LSB, de 22 de junho de 2021) reconhece a validade de provas eletrónicas obtidas por meio de cooperação internacional, desde que obedecidos os princípios da proporcionalidade e da necessidade, requisitos plenamente satisfeitos no presente caso.</w:t>
      </w:r>
    </w:p>
    <w:bookmarkEnd w:id="13"/>
    <w:bookmarkStart w:id="14" w:name="X3d25d37ce291ed598b3b8190efed15c920b6a22"/>
    <w:p>
      <w:pPr>
        <w:pStyle w:val="Heading4"/>
      </w:pPr>
      <w:r>
        <w:t xml:space="preserve">2. Do nexo causal entre o phishing e as transferências</w:t>
      </w:r>
    </w:p>
    <w:p>
      <w:pPr>
        <w:pStyle w:val="FirstParagraph"/>
      </w:pPr>
      <w:r>
        <w:t xml:space="preserve">A defesa não demonstra a inexistência de nexo causal. Os elementos probatórios a seguir demonstram, de forma inequívoca, a ligação entre o e‑mail de phishing e as transferências: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Data e hora dos e‑mails</w:t>
      </w:r>
      <w:r>
        <w:t xml:space="preserve"> </w:t>
      </w:r>
      <w:r>
        <w:t xml:space="preserve">(12/03/2023, 09:12 h) coincidem com o horário da primeira transferência (12/03/2023, 09:45 h).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Endereço IP de origem</w:t>
      </w:r>
      <w:r>
        <w:t xml:space="preserve"> </w:t>
      </w:r>
      <w:r>
        <w:t xml:space="preserve">dos e‑mails corresponde ao IP atribuído ao dispositivo móvel da vítima (identificado nos logs de rede).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Conteúdo dos e‑mails</w:t>
      </w:r>
      <w:r>
        <w:t xml:space="preserve"> </w:t>
      </w:r>
      <w:r>
        <w:t xml:space="preserve">contém instruções precisas para a transferência de €10 000, €12 000 e €10 000 para contas controladas pelo réu (contas nº 98765432/001 – Banco Y; nº 87654321/002 – Banco Z).</w:t>
      </w:r>
    </w:p>
    <w:p>
      <w:pPr>
        <w:pStyle w:val="FirstParagraph"/>
      </w:pPr>
      <w:r>
        <w:t xml:space="preserve">A peritagem informática, já iniciada (Laudo Pericial n.º 2023/07, a ser concluído em 30 de abril de 2024), confirmará a autoria dos endereços IP e a inexistência de intervenções de terceiros.</w:t>
      </w:r>
    </w:p>
    <w:bookmarkEnd w:id="14"/>
    <w:bookmarkStart w:id="15" w:name="da-prescrição-do-delito"/>
    <w:p>
      <w:pPr>
        <w:pStyle w:val="Heading4"/>
      </w:pPr>
      <w:r>
        <w:t xml:space="preserve">3. Da prescrição do delito</w:t>
      </w:r>
    </w:p>
    <w:p>
      <w:pPr>
        <w:pStyle w:val="FirstParagraph"/>
      </w:pPr>
      <w:r>
        <w:t xml:space="preserve">O prazo prescricional aplicável ao crime de burla informática, tipificado no</w:t>
      </w:r>
      <w:r>
        <w:t xml:space="preserve"> </w:t>
      </w:r>
      <w:r>
        <w:rPr>
          <w:b/>
          <w:bCs/>
        </w:rPr>
        <w:t xml:space="preserve">artigo 217.º, n.º 1</w:t>
      </w:r>
      <w:r>
        <w:t xml:space="preserve"> </w:t>
      </w:r>
      <w:r>
        <w:t xml:space="preserve">do Código Penal, é de</w:t>
      </w:r>
      <w:r>
        <w:t xml:space="preserve"> </w:t>
      </w:r>
      <w:r>
        <w:rPr>
          <w:b/>
          <w:bCs/>
        </w:rPr>
        <w:t xml:space="preserve">dez anos</w:t>
      </w:r>
      <w:r>
        <w:t xml:space="preserve"> </w:t>
      </w:r>
      <w:r>
        <w:t xml:space="preserve">(artigo 73.º, n.º 1, alínea c)). Assim, considerando que o último ato ilícito ocorreu em</w:t>
      </w:r>
      <w:r>
        <w:t xml:space="preserve"> </w:t>
      </w:r>
      <w:r>
        <w:rPr>
          <w:b/>
          <w:bCs/>
        </w:rPr>
        <w:t xml:space="preserve">25 de março de 2023</w:t>
      </w:r>
      <w:r>
        <w:t xml:space="preserve">, o prazo prescricional ainda está longe de ser atingido. A alegação de prescrição, portanto, carece de fundamento jurídico.</w:t>
      </w:r>
    </w:p>
    <w:bookmarkEnd w:id="15"/>
    <w:bookmarkStart w:id="16" w:name="do-pedido-de-extinção-das-diligências"/>
    <w:p>
      <w:pPr>
        <w:pStyle w:val="Heading4"/>
      </w:pPr>
      <w:r>
        <w:t xml:space="preserve">4. Do pedido de extinção das diligências</w:t>
      </w:r>
    </w:p>
    <w:p>
      <w:pPr>
        <w:pStyle w:val="FirstParagraph"/>
      </w:pPr>
      <w:r>
        <w:t xml:space="preserve">A manutenção das diligências solicitadas revela‑se imprescindível para a completa elucidação dos factos. Em particular: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Peritagem informática</w:t>
      </w:r>
      <w:r>
        <w:t xml:space="preserve"> </w:t>
      </w:r>
      <w:r>
        <w:t xml:space="preserve">– Necessária para comprovar a autoria dos endereços IP e a integridade dos registos de e‑mail.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Oitiva da vítima (Sra. Maria Fernandes)</w:t>
      </w:r>
      <w:r>
        <w:t xml:space="preserve"> </w:t>
      </w:r>
      <w:r>
        <w:t xml:space="preserve">– Já realizada, mas a produção de depoimento complementar é requerida para esclarecer a sequência de instruções recebidas.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Depoimento do responsável técnico do Banco X</w:t>
      </w:r>
      <w:r>
        <w:t xml:space="preserve"> </w:t>
      </w:r>
      <w:r>
        <w:t xml:space="preserve">– Essencial para validar a autenticidade dos extratos bancários e confirmar a inexistência de falhas internas que possam ter facilitado a fraude.</w:t>
      </w:r>
    </w:p>
    <w:p>
      <w:pPr>
        <w:pStyle w:val="FirstParagraph"/>
      </w:pPr>
      <w:r>
        <w:t xml:space="preserve">A jurisprudência do Tribunal da Relação de Lisboa (Acórdão n.º 215/22.5T8LSB, de 12 de outubro de 2022) sublinha que a supressão de diligências relevantes pode comprometer o princípio do contraditório e o direito à prova plena, violando o artigo 20.º da Constituição.</w:t>
      </w:r>
    </w:p>
    <w:bookmarkEnd w:id="16"/>
    <w:bookmarkEnd w:id="17"/>
    <w:bookmarkStart w:id="18" w:name="iv.-pedidos"/>
    <w:p>
      <w:pPr>
        <w:pStyle w:val="Heading3"/>
      </w:pPr>
      <w:r>
        <w:t xml:space="preserve">IV. Pedidos</w:t>
      </w:r>
    </w:p>
    <w:p>
      <w:pPr>
        <w:pStyle w:val="FirstParagraph"/>
      </w:pPr>
      <w:r>
        <w:t xml:space="preserve">Face ao exposto, o Ministério Público requer a V. Exa.: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Rejeição integral da Contestação</w:t>
      </w:r>
      <w:r>
        <w:t xml:space="preserve">, reconhecendo a admissibilidade de toda a prova eletrónica coligida, nos termos do artigo 38.º do CPP.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Manutenção das diligências</w:t>
      </w:r>
      <w:r>
        <w:t xml:space="preserve"> </w:t>
      </w:r>
      <w:r>
        <w:t xml:space="preserve">já requeridas, nomeadamente:</w:t>
      </w:r>
    </w:p>
    <w:p>
      <w:pPr>
        <w:pStyle w:val="Compact"/>
        <w:numPr>
          <w:ilvl w:val="1"/>
          <w:numId w:val="1005"/>
        </w:numPr>
      </w:pPr>
      <w:r>
        <w:t xml:space="preserve">Conclusão da</w:t>
      </w:r>
      <w:r>
        <w:t xml:space="preserve"> </w:t>
      </w:r>
      <w:r>
        <w:rPr>
          <w:b/>
          <w:bCs/>
        </w:rPr>
        <w:t xml:space="preserve">peritagem informática</w:t>
      </w:r>
      <w:r>
        <w:t xml:space="preserve"> </w:t>
      </w:r>
      <w:r>
        <w:t xml:space="preserve">(Laudo Pericial n.º 2023/07);</w:t>
      </w:r>
      <w:r>
        <w:br/>
      </w:r>
    </w:p>
    <w:p>
      <w:pPr>
        <w:pStyle w:val="Compact"/>
        <w:numPr>
          <w:ilvl w:val="1"/>
          <w:numId w:val="1005"/>
        </w:numPr>
      </w:pPr>
      <w:r>
        <w:rPr>
          <w:b/>
          <w:bCs/>
        </w:rPr>
        <w:t xml:space="preserve">Oitiva complementar</w:t>
      </w:r>
      <w:r>
        <w:t xml:space="preserve"> </w:t>
      </w:r>
      <w:r>
        <w:t xml:space="preserve">da vítima, Sra. Maria Fernandes;</w:t>
      </w:r>
      <w:r>
        <w:br/>
      </w:r>
    </w:p>
    <w:p>
      <w:pPr>
        <w:pStyle w:val="Compact"/>
        <w:numPr>
          <w:ilvl w:val="1"/>
          <w:numId w:val="1005"/>
        </w:numPr>
      </w:pPr>
      <w:r>
        <w:rPr>
          <w:b/>
          <w:bCs/>
        </w:rPr>
        <w:t xml:space="preserve">Depoimento</w:t>
      </w:r>
      <w:r>
        <w:t xml:space="preserve"> </w:t>
      </w:r>
      <w:r>
        <w:t xml:space="preserve">do responsável técnico do Banco X.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Condenação do réu João da Silva</w:t>
      </w:r>
      <w:r>
        <w:t xml:space="preserve"> </w:t>
      </w:r>
      <w:r>
        <w:t xml:space="preserve">pelos crimes previstos nos artigos 217.º e</w:t>
      </w:r>
      <w:r>
        <w:t xml:space="preserve"> </w:t>
      </w:r>
      <w:r>
        <w:rPr>
          <w:b/>
          <w:bCs/>
        </w:rPr>
        <w:t xml:space="preserve">73.º</w:t>
      </w:r>
      <w:r>
        <w:t xml:space="preserve"> </w:t>
      </w:r>
      <w:r>
        <w:t xml:space="preserve">do Código Penal, com a aplicação das penas previstas, incluindo a restituição integral do montante indevidamente transferido (</w:t>
      </w:r>
      <w:r>
        <w:rPr>
          <w:b/>
          <w:bCs/>
        </w:rPr>
        <w:t xml:space="preserve">€32 000,00</w:t>
      </w:r>
      <w:r>
        <w:t xml:space="preserve">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Fixação de caução</w:t>
      </w:r>
      <w:r>
        <w:t xml:space="preserve"> </w:t>
      </w:r>
      <w:r>
        <w:t xml:space="preserve">no valor de</w:t>
      </w:r>
      <w:r>
        <w:t xml:space="preserve"> </w:t>
      </w:r>
      <w:r>
        <w:rPr>
          <w:b/>
          <w:bCs/>
        </w:rPr>
        <w:t xml:space="preserve">€10 000,00</w:t>
      </w:r>
      <w:r>
        <w:t xml:space="preserve">, nos termos do artigo 99.º do CPP, para garantir a efetividade da eventual execução da pena.</w:t>
      </w:r>
    </w:p>
    <w:p>
      <w:pPr>
        <w:pStyle w:val="FirstParagraph"/>
      </w:pPr>
      <w:r>
        <w:t xml:space="preserve">Termos em que,</w:t>
      </w:r>
      <w:r>
        <w:br/>
      </w:r>
      <w:r>
        <w:t xml:space="preserve">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15 de março de 2024</w:t>
      </w:r>
    </w:p>
    <w:p>
      <w:pPr>
        <w:pStyle w:val="BodyText"/>
      </w:pPr>
      <w:r>
        <w:rPr>
          <w:b/>
          <w:bCs/>
        </w:rPr>
        <w:t xml:space="preserve">Dr. Marta Santos</w:t>
      </w:r>
      <w:r>
        <w:br/>
      </w:r>
      <w:r>
        <w:t xml:space="preserve">Procuradora do Ministério Público</w:t>
      </w:r>
      <w:r>
        <w:br/>
      </w:r>
      <w:r>
        <w:t xml:space="preserve">OA 54321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Anexos:</w:t>
      </w:r>
    </w:p>
    <w:p>
      <w:pPr>
        <w:pStyle w:val="Compact"/>
        <w:numPr>
          <w:ilvl w:val="0"/>
          <w:numId w:val="1006"/>
        </w:numPr>
      </w:pPr>
      <w:r>
        <w:t xml:space="preserve">Cópia do</w:t>
      </w:r>
      <w:r>
        <w:t xml:space="preserve"> </w:t>
      </w:r>
      <w:r>
        <w:rPr>
          <w:b/>
          <w:bCs/>
        </w:rPr>
        <w:t xml:space="preserve">Despacho n.º 2023/0187</w:t>
      </w:r>
      <w:r>
        <w:t xml:space="preserve"> </w:t>
      </w:r>
      <w:r>
        <w:t xml:space="preserve">(autorização de prova eletrónica).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Laudo Pericial n.º 2023/07</w:t>
      </w:r>
      <w:r>
        <w:t xml:space="preserve"> </w:t>
      </w:r>
      <w:r>
        <w:t xml:space="preserve">(em fase de elaboração).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Registo de e‑mail “phishing@bank.com”</w:t>
      </w:r>
      <w:r>
        <w:t xml:space="preserve"> </w:t>
      </w:r>
      <w:r>
        <w:t xml:space="preserve">(extrato PDF).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Extratos bancários da conta nº 12345678/001</w:t>
      </w:r>
      <w:r>
        <w:t xml:space="preserve"> </w:t>
      </w:r>
      <w:r>
        <w:t xml:space="preserve">(Banco X).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Logs de acesso ao servidor “phish‑portal.com”</w:t>
      </w:r>
      <w:r>
        <w:t xml:space="preserve">.</w:t>
      </w:r>
    </w:p>
    <w:bookmarkEnd w:id="18"/>
    <w:bookmarkEnd w:id="1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2026-02-22T19:01:58Z</dcterms:created>
  <dcterms:modified xsi:type="dcterms:W3CDTF">2026-02-22T19:01:58Z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